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4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5245"/>
        <w:gridCol w:w="1701"/>
      </w:tblGrid>
      <w:tr w:rsidR="00FD6FBA" w:rsidRPr="00E101D4" w14:paraId="78B5EDFA" w14:textId="77777777" w:rsidTr="005A24FA">
        <w:trPr>
          <w:trHeight w:hRule="exact" w:val="288"/>
        </w:trPr>
        <w:tc>
          <w:tcPr>
            <w:tcW w:w="1809" w:type="dxa"/>
            <w:shd w:val="clear" w:color="auto" w:fill="BFBFBF" w:themeFill="background1" w:themeFillShade="BF"/>
          </w:tcPr>
          <w:p w14:paraId="123B8E56" w14:textId="77777777" w:rsidR="00FD6FBA" w:rsidRPr="00E101D4" w:rsidDel="008B73C4" w:rsidRDefault="00FD6FBA" w:rsidP="00D7796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8"/>
              <w:jc w:val="center"/>
              <w:rPr>
                <w:rFonts w:cs="Arial"/>
                <w:b/>
                <w:bCs/>
                <w:spacing w:val="-1"/>
                <w:sz w:val="22"/>
                <w:szCs w:val="22"/>
                <w:lang w:val="en-AU"/>
              </w:rPr>
            </w:pPr>
            <w:bookmarkStart w:id="0" w:name="_GoBack"/>
            <w:bookmarkEnd w:id="0"/>
            <w:r w:rsidRPr="00E101D4">
              <w:rPr>
                <w:rFonts w:cs="Arial"/>
                <w:b/>
                <w:bCs/>
                <w:spacing w:val="-1"/>
                <w:sz w:val="22"/>
                <w:szCs w:val="22"/>
                <w:lang w:val="en-AU"/>
              </w:rPr>
              <w:t>Clause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11D02DB2" w14:textId="77777777" w:rsidR="00FD6FBA" w:rsidRPr="00E101D4" w:rsidRDefault="00FD6FBA" w:rsidP="00D7796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8"/>
              <w:jc w:val="center"/>
              <w:rPr>
                <w:rFonts w:ascii="Times New Roman" w:hAnsi="Times New Roman"/>
                <w:lang w:val="en-AU"/>
              </w:rPr>
            </w:pPr>
            <w:r w:rsidRPr="00E101D4">
              <w:rPr>
                <w:rFonts w:cs="Arial"/>
                <w:b/>
                <w:bCs/>
                <w:spacing w:val="-1"/>
                <w:sz w:val="22"/>
                <w:szCs w:val="22"/>
                <w:lang w:val="en-AU"/>
              </w:rPr>
              <w:t>Control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7A75BED5" w14:textId="77777777" w:rsidR="00FD6FBA" w:rsidRPr="00E101D4" w:rsidRDefault="00FD6FBA" w:rsidP="00D7796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8"/>
              <w:jc w:val="center"/>
              <w:rPr>
                <w:rFonts w:ascii="Times New Roman" w:hAnsi="Times New Roman"/>
                <w:lang w:val="en-AU"/>
              </w:rPr>
            </w:pPr>
            <w:r w:rsidRPr="00E101D4">
              <w:rPr>
                <w:rFonts w:cs="Arial"/>
                <w:b/>
                <w:bCs/>
                <w:spacing w:val="-2"/>
                <w:sz w:val="22"/>
                <w:szCs w:val="22"/>
                <w:lang w:val="en-AU"/>
              </w:rPr>
              <w:t>Proposed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226E1ED" w14:textId="77777777" w:rsidR="00FD6FBA" w:rsidRPr="00E101D4" w:rsidRDefault="00FD6FBA" w:rsidP="00D7796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7"/>
              <w:jc w:val="center"/>
              <w:rPr>
                <w:rFonts w:ascii="Times New Roman" w:hAnsi="Times New Roman"/>
                <w:lang w:val="en-AU"/>
              </w:rPr>
            </w:pPr>
            <w:r w:rsidRPr="00E101D4">
              <w:rPr>
                <w:rFonts w:cs="Arial"/>
                <w:b/>
                <w:bCs/>
                <w:spacing w:val="-2"/>
                <w:sz w:val="22"/>
                <w:szCs w:val="22"/>
                <w:lang w:val="en-AU"/>
              </w:rPr>
              <w:t>Compliance</w:t>
            </w:r>
          </w:p>
        </w:tc>
      </w:tr>
      <w:tr w:rsidR="00ED126B" w:rsidRPr="00E101D4" w14:paraId="27C5706D" w14:textId="77777777" w:rsidTr="005A24FA">
        <w:trPr>
          <w:trHeight w:val="2123"/>
        </w:trPr>
        <w:tc>
          <w:tcPr>
            <w:tcW w:w="1809" w:type="dxa"/>
          </w:tcPr>
          <w:p w14:paraId="76778874" w14:textId="77777777" w:rsidR="00ED126B" w:rsidRDefault="00ED126B" w:rsidP="00D77967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Clause 4</w:t>
            </w:r>
          </w:p>
          <w:p w14:paraId="62BAB510" w14:textId="77777777" w:rsidR="00AA06CB" w:rsidRPr="00E101D4" w:rsidRDefault="00AA06CB" w:rsidP="00D77967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Land to which Policy applies</w:t>
            </w:r>
          </w:p>
        </w:tc>
        <w:tc>
          <w:tcPr>
            <w:tcW w:w="5387" w:type="dxa"/>
          </w:tcPr>
          <w:p w14:paraId="2FC10872" w14:textId="77777777" w:rsidR="00ED126B" w:rsidRDefault="00ED126B" w:rsidP="0093473D">
            <w:pPr>
              <w:pStyle w:val="ListParagraph"/>
              <w:numPr>
                <w:ilvl w:val="0"/>
                <w:numId w:val="1"/>
              </w:numPr>
              <w:ind w:left="454" w:hanging="454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AU"/>
              </w:rPr>
              <w:t>General.</w:t>
            </w:r>
            <w:r>
              <w:rPr>
                <w:rFonts w:cs="Arial"/>
                <w:bCs/>
                <w:sz w:val="22"/>
                <w:szCs w:val="22"/>
                <w:lang w:val="en-AU"/>
              </w:rPr>
              <w:t xml:space="preserve"> This Policy applies to land within New South Wales that is zoned primarily for urban purposes or land that adjoins land zoned primarily for urban purposes, but only if –</w:t>
            </w:r>
          </w:p>
          <w:p w14:paraId="1B6DCAE4" w14:textId="77777777" w:rsidR="00ED126B" w:rsidRDefault="00ED126B" w:rsidP="009347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(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AU"/>
              </w:rPr>
              <w:t>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AU"/>
              </w:rPr>
              <w:t>) dwelling houses,</w:t>
            </w:r>
          </w:p>
          <w:p w14:paraId="5E0D5F9F" w14:textId="77777777" w:rsidR="00ED126B" w:rsidRDefault="00ED126B" w:rsidP="00ED126B">
            <w:pPr>
              <w:pStyle w:val="ListParagraph"/>
              <w:ind w:left="814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(ii) residential flat buildings,</w:t>
            </w:r>
          </w:p>
          <w:p w14:paraId="421A4BF3" w14:textId="77777777" w:rsidR="00ED126B" w:rsidRDefault="00ED126B" w:rsidP="00ED126B">
            <w:pPr>
              <w:pStyle w:val="ListParagraph"/>
              <w:ind w:left="814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(iii) hospitals,</w:t>
            </w:r>
          </w:p>
          <w:p w14:paraId="05E0866B" w14:textId="77777777" w:rsidR="00ED126B" w:rsidRDefault="00ED126B" w:rsidP="00ED126B">
            <w:pPr>
              <w:pStyle w:val="ListParagraph"/>
              <w:ind w:left="814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(iv) development of a kind identified in respect of land zoned as special uses, including (but not limited to) churches, convents, educational establishments, schools and seminaries, or</w:t>
            </w:r>
          </w:p>
          <w:p w14:paraId="119161E2" w14:textId="77777777" w:rsidR="00ED126B" w:rsidRPr="00ED126B" w:rsidRDefault="00ED126B" w:rsidP="009347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The land is being used for the purposes of an existing registered club.</w:t>
            </w:r>
          </w:p>
        </w:tc>
        <w:tc>
          <w:tcPr>
            <w:tcW w:w="5245" w:type="dxa"/>
          </w:tcPr>
          <w:p w14:paraId="1164D89F" w14:textId="77777777" w:rsidR="00ED126B" w:rsidRPr="00E101D4" w:rsidRDefault="00ED126B" w:rsidP="00D77967">
            <w:pPr>
              <w:jc w:val="both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>The site is primarily zoned R1 – General Residential pursuant to Camden Local Environmental Plan</w:t>
            </w:r>
            <w:r w:rsidR="0084228E">
              <w:rPr>
                <w:rFonts w:cs="Arial"/>
                <w:sz w:val="22"/>
                <w:szCs w:val="22"/>
                <w:lang w:val="en-AU"/>
              </w:rPr>
              <w:t xml:space="preserve"> 2010</w:t>
            </w:r>
            <w:r w:rsidR="00AA06CB">
              <w:rPr>
                <w:rFonts w:cs="Arial"/>
                <w:sz w:val="22"/>
                <w:szCs w:val="22"/>
                <w:lang w:val="en-AU"/>
              </w:rPr>
              <w:t>. The zoning permits the erection of dwelling houses and residential flat buildings. The portion of the site to the north that is zoned E2 – Environmental Conservation will be dedicated to Council. No dwellings or structures are proposed to exist within the E2 – Environmental Conservation zoned portion of the site.</w:t>
            </w:r>
          </w:p>
        </w:tc>
        <w:tc>
          <w:tcPr>
            <w:tcW w:w="1701" w:type="dxa"/>
          </w:tcPr>
          <w:p w14:paraId="64D7041B" w14:textId="77777777" w:rsidR="00ED126B" w:rsidRPr="00E101D4" w:rsidRDefault="00ED126B" w:rsidP="00D77967">
            <w:pPr>
              <w:jc w:val="both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>Yes</w:t>
            </w:r>
          </w:p>
        </w:tc>
      </w:tr>
      <w:tr w:rsidR="00AA06CB" w:rsidRPr="00E101D4" w14:paraId="66FB7115" w14:textId="77777777" w:rsidTr="005A24FA">
        <w:trPr>
          <w:trHeight w:val="2123"/>
        </w:trPr>
        <w:tc>
          <w:tcPr>
            <w:tcW w:w="1809" w:type="dxa"/>
          </w:tcPr>
          <w:p w14:paraId="5C76DFA9" w14:textId="77777777" w:rsidR="00AA06CB" w:rsidRDefault="00AA06CB" w:rsidP="00D77967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Clause 10</w:t>
            </w:r>
          </w:p>
          <w:p w14:paraId="576F3CF8" w14:textId="77777777" w:rsidR="00AA06CB" w:rsidRDefault="00AA06CB" w:rsidP="00D77967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Seniors Housing</w:t>
            </w:r>
          </w:p>
        </w:tc>
        <w:tc>
          <w:tcPr>
            <w:tcW w:w="5387" w:type="dxa"/>
          </w:tcPr>
          <w:p w14:paraId="6182E97B" w14:textId="77777777" w:rsidR="00AA06CB" w:rsidRDefault="00AA06CB" w:rsidP="00AA06CB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In this policy, seniors housing is residential accommodation that is, or is intended to be, used primarily for seniors or people with a disability consisting of-</w:t>
            </w:r>
          </w:p>
          <w:p w14:paraId="76440965" w14:textId="77777777" w:rsidR="00AA06CB" w:rsidRDefault="00AA06CB" w:rsidP="0093473D">
            <w:pPr>
              <w:pStyle w:val="ListParagraph"/>
              <w:numPr>
                <w:ilvl w:val="0"/>
                <w:numId w:val="3"/>
              </w:numPr>
              <w:ind w:left="454" w:hanging="454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A residential care facility, or</w:t>
            </w:r>
          </w:p>
          <w:p w14:paraId="2B294F3E" w14:textId="77777777" w:rsidR="00AA06CB" w:rsidRDefault="00AA06CB" w:rsidP="0093473D">
            <w:pPr>
              <w:pStyle w:val="ListParagraph"/>
              <w:numPr>
                <w:ilvl w:val="0"/>
                <w:numId w:val="3"/>
              </w:numPr>
              <w:ind w:left="454" w:hanging="454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A hostel, or</w:t>
            </w:r>
          </w:p>
          <w:p w14:paraId="6AD1D88F" w14:textId="77777777" w:rsidR="00AA06CB" w:rsidRDefault="00AA06CB" w:rsidP="0093473D">
            <w:pPr>
              <w:pStyle w:val="ListParagraph"/>
              <w:numPr>
                <w:ilvl w:val="0"/>
                <w:numId w:val="3"/>
              </w:numPr>
              <w:ind w:left="454" w:hanging="454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A group of self-contained dwellings, or</w:t>
            </w:r>
          </w:p>
          <w:p w14:paraId="0F6DDA64" w14:textId="77777777" w:rsidR="00AA06CB" w:rsidRDefault="00AA06CB" w:rsidP="0093473D">
            <w:pPr>
              <w:pStyle w:val="ListParagraph"/>
              <w:numPr>
                <w:ilvl w:val="0"/>
                <w:numId w:val="3"/>
              </w:numPr>
              <w:ind w:left="454" w:hanging="454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A combination of these,</w:t>
            </w:r>
          </w:p>
          <w:p w14:paraId="045FEC4C" w14:textId="77777777" w:rsidR="00AA06CB" w:rsidRPr="00AA06CB" w:rsidRDefault="00AA06CB" w:rsidP="00AA06CB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But does not include a hospital.</w:t>
            </w:r>
          </w:p>
        </w:tc>
        <w:tc>
          <w:tcPr>
            <w:tcW w:w="5245" w:type="dxa"/>
          </w:tcPr>
          <w:p w14:paraId="6EF8DB66" w14:textId="77777777" w:rsidR="00AA06CB" w:rsidRDefault="00AA06CB" w:rsidP="00D77967">
            <w:pPr>
              <w:jc w:val="both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 xml:space="preserve">The development proposes the erection of a residential care facility </w:t>
            </w:r>
            <w:r w:rsidR="0025334C">
              <w:rPr>
                <w:rFonts w:cs="Arial"/>
                <w:sz w:val="22"/>
                <w:szCs w:val="22"/>
                <w:lang w:val="en-AU"/>
              </w:rPr>
              <w:t xml:space="preserve">(122 beds) </w:t>
            </w:r>
            <w:r>
              <w:rPr>
                <w:rFonts w:cs="Arial"/>
                <w:sz w:val="22"/>
                <w:szCs w:val="22"/>
                <w:lang w:val="en-AU"/>
              </w:rPr>
              <w:t xml:space="preserve">within Stage 1 and concept approval for </w:t>
            </w:r>
            <w:r w:rsidR="00541A83">
              <w:rPr>
                <w:rFonts w:cs="Arial"/>
                <w:sz w:val="22"/>
                <w:szCs w:val="22"/>
                <w:lang w:val="en-AU"/>
              </w:rPr>
              <w:t>52 self-care seniors housing apartments</w:t>
            </w:r>
            <w:r w:rsidR="004B0A75">
              <w:rPr>
                <w:rFonts w:cs="Arial"/>
                <w:sz w:val="22"/>
                <w:szCs w:val="22"/>
                <w:lang w:val="en-AU"/>
              </w:rPr>
              <w:t>.</w:t>
            </w:r>
            <w:r w:rsidR="00541A83">
              <w:rPr>
                <w:rFonts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701" w:type="dxa"/>
          </w:tcPr>
          <w:p w14:paraId="5C05D64F" w14:textId="77777777" w:rsidR="00AA06CB" w:rsidRDefault="00AA06CB" w:rsidP="00D77967">
            <w:pPr>
              <w:jc w:val="both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>Yes</w:t>
            </w:r>
          </w:p>
        </w:tc>
      </w:tr>
      <w:tr w:rsidR="00E274A9" w:rsidRPr="00E101D4" w14:paraId="407271A6" w14:textId="77777777" w:rsidTr="005A24FA">
        <w:trPr>
          <w:trHeight w:val="2123"/>
        </w:trPr>
        <w:tc>
          <w:tcPr>
            <w:tcW w:w="1809" w:type="dxa"/>
          </w:tcPr>
          <w:p w14:paraId="572E3168" w14:textId="77777777" w:rsidR="00E274A9" w:rsidRDefault="00E274A9" w:rsidP="00D77967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Clause 11</w:t>
            </w:r>
          </w:p>
          <w:p w14:paraId="222A4983" w14:textId="77777777" w:rsidR="00E274A9" w:rsidRDefault="00E274A9" w:rsidP="00D77967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Residential care facilities</w:t>
            </w:r>
          </w:p>
        </w:tc>
        <w:tc>
          <w:tcPr>
            <w:tcW w:w="5387" w:type="dxa"/>
          </w:tcPr>
          <w:p w14:paraId="4B52DB30" w14:textId="77777777" w:rsidR="00E274A9" w:rsidRDefault="00E274A9" w:rsidP="00AA06CB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In this policy, a residential care facility is residential accommodation for seniors or people with a disability that includes-</w:t>
            </w:r>
          </w:p>
          <w:p w14:paraId="44AFADE8" w14:textId="77777777" w:rsidR="00E274A9" w:rsidRDefault="00E274A9" w:rsidP="00E274A9">
            <w:pPr>
              <w:pStyle w:val="ListParagraph"/>
              <w:numPr>
                <w:ilvl w:val="0"/>
                <w:numId w:val="18"/>
              </w:numPr>
              <w:ind w:left="458" w:hanging="458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Meals and cleaning services, and</w:t>
            </w:r>
          </w:p>
          <w:p w14:paraId="22AF8595" w14:textId="77777777" w:rsidR="00E274A9" w:rsidRDefault="00E274A9" w:rsidP="00E274A9">
            <w:pPr>
              <w:pStyle w:val="ListParagraph"/>
              <w:numPr>
                <w:ilvl w:val="0"/>
                <w:numId w:val="18"/>
              </w:numPr>
              <w:ind w:left="458" w:hanging="458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Personal care or nursing care, or both, and</w:t>
            </w:r>
          </w:p>
          <w:p w14:paraId="42A478F9" w14:textId="77777777" w:rsidR="00E274A9" w:rsidRDefault="00E274A9" w:rsidP="00E274A9">
            <w:pPr>
              <w:pStyle w:val="ListParagraph"/>
              <w:numPr>
                <w:ilvl w:val="0"/>
                <w:numId w:val="18"/>
              </w:numPr>
              <w:ind w:left="458" w:hanging="458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Appropriate staffing, furniture, furnishings and equipment for the provision of that accommodation and care,</w:t>
            </w:r>
          </w:p>
          <w:p w14:paraId="3AC1CC1D" w14:textId="77777777" w:rsidR="00E274A9" w:rsidRPr="00E274A9" w:rsidRDefault="00E274A9" w:rsidP="00E274A9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>Not being a dwelling, hostel, hospital or psychiatric facility.</w:t>
            </w:r>
          </w:p>
        </w:tc>
        <w:tc>
          <w:tcPr>
            <w:tcW w:w="5245" w:type="dxa"/>
          </w:tcPr>
          <w:p w14:paraId="37C03E57" w14:textId="77777777" w:rsidR="00E274A9" w:rsidRDefault="00E274A9" w:rsidP="00D77967">
            <w:pPr>
              <w:jc w:val="both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 xml:space="preserve">The proposed residential care facility will provide </w:t>
            </w:r>
            <w:proofErr w:type="gramStart"/>
            <w:r>
              <w:rPr>
                <w:rFonts w:cs="Arial"/>
                <w:sz w:val="22"/>
                <w:szCs w:val="22"/>
                <w:lang w:val="en-AU"/>
              </w:rPr>
              <w:t>all of</w:t>
            </w:r>
            <w:proofErr w:type="gramEnd"/>
            <w:r>
              <w:rPr>
                <w:rFonts w:cs="Arial"/>
                <w:sz w:val="22"/>
                <w:szCs w:val="22"/>
                <w:lang w:val="en-AU"/>
              </w:rPr>
              <w:t xml:space="preserve"> these services. It is noted that 60 of the 122 aged beds are designated for dementia patients.</w:t>
            </w:r>
          </w:p>
        </w:tc>
        <w:tc>
          <w:tcPr>
            <w:tcW w:w="1701" w:type="dxa"/>
          </w:tcPr>
          <w:p w14:paraId="65246638" w14:textId="77777777" w:rsidR="00E274A9" w:rsidRDefault="00E274A9" w:rsidP="00D77967">
            <w:pPr>
              <w:jc w:val="both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>Yes</w:t>
            </w:r>
          </w:p>
        </w:tc>
      </w:tr>
      <w:tr w:rsidR="00952962" w:rsidRPr="00E101D4" w14:paraId="1830A93B" w14:textId="77777777" w:rsidTr="005A24FA">
        <w:trPr>
          <w:trHeight w:val="2123"/>
        </w:trPr>
        <w:tc>
          <w:tcPr>
            <w:tcW w:w="1809" w:type="dxa"/>
          </w:tcPr>
          <w:p w14:paraId="017EB816" w14:textId="77777777" w:rsidR="00952962" w:rsidRDefault="00952962" w:rsidP="00D77967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lastRenderedPageBreak/>
              <w:t xml:space="preserve">Clause 13 </w:t>
            </w:r>
          </w:p>
          <w:p w14:paraId="7568E21B" w14:textId="77777777" w:rsidR="00952962" w:rsidRDefault="00952962" w:rsidP="00D77967">
            <w:pPr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  <w:lang w:val="en-AU"/>
              </w:rPr>
              <w:t>Self contained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AU"/>
              </w:rPr>
              <w:t xml:space="preserve"> dwellings</w:t>
            </w:r>
          </w:p>
        </w:tc>
        <w:tc>
          <w:tcPr>
            <w:tcW w:w="5387" w:type="dxa"/>
          </w:tcPr>
          <w:p w14:paraId="53B715E7" w14:textId="77777777" w:rsidR="00952962" w:rsidRPr="00952962" w:rsidRDefault="00952962" w:rsidP="00952962">
            <w:pPr>
              <w:pStyle w:val="ListParagraph"/>
              <w:numPr>
                <w:ilvl w:val="0"/>
                <w:numId w:val="1"/>
              </w:numPr>
              <w:ind w:left="458" w:hanging="425"/>
              <w:jc w:val="both"/>
              <w:rPr>
                <w:rFonts w:cs="Arial"/>
                <w:bCs/>
                <w:sz w:val="22"/>
                <w:szCs w:val="22"/>
                <w:lang w:val="en-AU"/>
              </w:rPr>
            </w:pPr>
            <w:r>
              <w:rPr>
                <w:rFonts w:cs="Arial"/>
                <w:bCs/>
                <w:sz w:val="22"/>
                <w:szCs w:val="22"/>
                <w:lang w:val="en-AU"/>
              </w:rPr>
              <w:t xml:space="preserve">“in-fill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AU"/>
              </w:rPr>
              <w:t>self care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AU"/>
              </w:rPr>
              <w:t xml:space="preserve"> housing” In this policy, in-fill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AU"/>
              </w:rPr>
              <w:t>self care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AU"/>
              </w:rPr>
              <w:t xml:space="preserve"> housing is seniors housing on land zoned primarily for urban purposes that consists of 2 or more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AU"/>
              </w:rPr>
              <w:t>self contained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AU"/>
              </w:rPr>
              <w:t xml:space="preserve"> dwellings where none of the following services are provided on site as part of the development: meals, cleaning services, personal care, nursing care.</w:t>
            </w:r>
          </w:p>
        </w:tc>
        <w:tc>
          <w:tcPr>
            <w:tcW w:w="5245" w:type="dxa"/>
          </w:tcPr>
          <w:p w14:paraId="31D01A1B" w14:textId="77777777" w:rsidR="00952962" w:rsidRDefault="00952962" w:rsidP="00D77967">
            <w:pPr>
              <w:jc w:val="both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 xml:space="preserve">Concept approval stage 2 intends to develop a part 2 and part 3 storey residential flat building to provide for 52 in-fill </w:t>
            </w:r>
            <w:proofErr w:type="spellStart"/>
            <w:r>
              <w:rPr>
                <w:rFonts w:cs="Arial"/>
                <w:sz w:val="22"/>
                <w:szCs w:val="22"/>
                <w:lang w:val="en-AU"/>
              </w:rPr>
              <w:t>self care</w:t>
            </w:r>
            <w:proofErr w:type="spellEnd"/>
            <w:r>
              <w:rPr>
                <w:rFonts w:cs="Arial"/>
                <w:sz w:val="22"/>
                <w:szCs w:val="22"/>
                <w:lang w:val="en-AU"/>
              </w:rPr>
              <w:t xml:space="preserve"> housing units.</w:t>
            </w:r>
          </w:p>
        </w:tc>
        <w:tc>
          <w:tcPr>
            <w:tcW w:w="1701" w:type="dxa"/>
          </w:tcPr>
          <w:p w14:paraId="178659D3" w14:textId="77777777" w:rsidR="00952962" w:rsidRDefault="00952962" w:rsidP="00D77967">
            <w:pPr>
              <w:jc w:val="both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>Yes</w:t>
            </w:r>
          </w:p>
        </w:tc>
      </w:tr>
      <w:tr w:rsidR="00FD6FBA" w14:paraId="56FE65D9" w14:textId="77777777" w:rsidTr="005A24FA">
        <w:tc>
          <w:tcPr>
            <w:tcW w:w="1809" w:type="dxa"/>
          </w:tcPr>
          <w:p w14:paraId="1DD8EB0B" w14:textId="77777777" w:rsidR="00FD6FBA" w:rsidRPr="00E101D4" w:rsidRDefault="00FD6FBA" w:rsidP="00D7796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101D4">
              <w:rPr>
                <w:bCs/>
                <w:sz w:val="22"/>
                <w:szCs w:val="22"/>
              </w:rPr>
              <w:t xml:space="preserve">Clause 55 </w:t>
            </w:r>
          </w:p>
          <w:p w14:paraId="25BDB7B9" w14:textId="77777777" w:rsidR="00FD6FBA" w:rsidRPr="00E101D4" w:rsidRDefault="003D45CF" w:rsidP="00D779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Residential care facilities for seniors required to have fire sprinkler systems</w:t>
            </w:r>
          </w:p>
          <w:p w14:paraId="7A3E0CEB" w14:textId="77777777" w:rsidR="00FD6FBA" w:rsidRPr="00E101D4" w:rsidRDefault="00FD6FBA" w:rsidP="00D77967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398295F9" w14:textId="77777777" w:rsidR="00FD6FBA" w:rsidRPr="00E101D4" w:rsidRDefault="00FD6FBA" w:rsidP="00D7796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E101D4">
              <w:rPr>
                <w:sz w:val="22"/>
                <w:szCs w:val="22"/>
              </w:rPr>
              <w:t xml:space="preserve">A </w:t>
            </w:r>
            <w:r w:rsidR="003D45CF">
              <w:rPr>
                <w:sz w:val="22"/>
                <w:szCs w:val="22"/>
              </w:rPr>
              <w:t>consent authority must not grant consent to carry out development for the purpose of a residential care facility for seniors unless the proposed development includes a fire sprinkler system.</w:t>
            </w:r>
          </w:p>
        </w:tc>
        <w:tc>
          <w:tcPr>
            <w:tcW w:w="5245" w:type="dxa"/>
          </w:tcPr>
          <w:p w14:paraId="61C03C02" w14:textId="77777777" w:rsidR="00FD6FBA" w:rsidRPr="00E101D4" w:rsidRDefault="00FD6FBA" w:rsidP="00D77967">
            <w:pPr>
              <w:pStyle w:val="Default"/>
              <w:jc w:val="both"/>
              <w:rPr>
                <w:szCs w:val="22"/>
              </w:rPr>
            </w:pPr>
            <w:r w:rsidRPr="00E101D4">
              <w:rPr>
                <w:sz w:val="22"/>
                <w:szCs w:val="22"/>
              </w:rPr>
              <w:t>A sprinkler system</w:t>
            </w:r>
            <w:r w:rsidR="00841CF2">
              <w:rPr>
                <w:sz w:val="22"/>
                <w:szCs w:val="22"/>
              </w:rPr>
              <w:t xml:space="preserve"> is</w:t>
            </w:r>
            <w:r w:rsidRPr="00E101D4">
              <w:rPr>
                <w:sz w:val="22"/>
                <w:szCs w:val="22"/>
              </w:rPr>
              <w:t xml:space="preserve"> proposed. A condition is recommended requiring the details of the system to be provided prior to the issue of a Construction Certificate. </w:t>
            </w:r>
          </w:p>
        </w:tc>
        <w:tc>
          <w:tcPr>
            <w:tcW w:w="1701" w:type="dxa"/>
          </w:tcPr>
          <w:p w14:paraId="26CB0EAA" w14:textId="77777777" w:rsidR="00FD6FBA" w:rsidRPr="004A0970" w:rsidRDefault="00FD6FBA" w:rsidP="00D77967">
            <w:pPr>
              <w:jc w:val="both"/>
              <w:rPr>
                <w:rFonts w:cs="Arial"/>
                <w:b/>
                <w:sz w:val="22"/>
                <w:szCs w:val="22"/>
                <w:lang w:val="en-AU"/>
              </w:rPr>
            </w:pPr>
            <w:r w:rsidRPr="00E101D4">
              <w:rPr>
                <w:rFonts w:cs="Arial"/>
                <w:sz w:val="22"/>
                <w:szCs w:val="22"/>
                <w:lang w:val="en-AU"/>
              </w:rPr>
              <w:t>Yes</w:t>
            </w:r>
            <w:r w:rsidR="007D513D">
              <w:rPr>
                <w:rFonts w:cs="Arial"/>
                <w:sz w:val="22"/>
                <w:szCs w:val="22"/>
                <w:lang w:val="en-AU"/>
              </w:rPr>
              <w:t>, conditioned</w:t>
            </w:r>
          </w:p>
        </w:tc>
      </w:tr>
    </w:tbl>
    <w:p w14:paraId="78962AB8" w14:textId="77777777" w:rsidR="00F40B18" w:rsidRDefault="00F40B18"/>
    <w:sectPr w:rsidR="00F40B18" w:rsidSect="0055100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D11C2" w14:textId="77777777" w:rsidR="00D60567" w:rsidRDefault="00D60567" w:rsidP="003172D8">
      <w:r>
        <w:separator/>
      </w:r>
    </w:p>
  </w:endnote>
  <w:endnote w:type="continuationSeparator" w:id="0">
    <w:p w14:paraId="085F083D" w14:textId="77777777" w:rsidR="00D60567" w:rsidRDefault="00D60567" w:rsidP="003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07532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0B13F97" w14:textId="77777777" w:rsidR="001D33E8" w:rsidRPr="00ED759B" w:rsidRDefault="005B59C5">
        <w:pPr>
          <w:pStyle w:val="Footer"/>
          <w:jc w:val="center"/>
          <w:rPr>
            <w:sz w:val="22"/>
            <w:szCs w:val="22"/>
          </w:rPr>
        </w:pPr>
        <w:r w:rsidRPr="00ED759B">
          <w:rPr>
            <w:sz w:val="22"/>
            <w:szCs w:val="22"/>
          </w:rPr>
          <w:t xml:space="preserve">Page </w:t>
        </w:r>
        <w:r w:rsidR="00BB77F5" w:rsidRPr="00ED759B">
          <w:rPr>
            <w:sz w:val="22"/>
            <w:szCs w:val="22"/>
          </w:rPr>
          <w:fldChar w:fldCharType="begin"/>
        </w:r>
        <w:r w:rsidR="00BB77F5" w:rsidRPr="00ED759B">
          <w:rPr>
            <w:sz w:val="22"/>
            <w:szCs w:val="22"/>
          </w:rPr>
          <w:instrText xml:space="preserve"> PAGE   \* MERGEFORMAT </w:instrText>
        </w:r>
        <w:r w:rsidR="00BB77F5" w:rsidRPr="00ED759B">
          <w:rPr>
            <w:sz w:val="22"/>
            <w:szCs w:val="22"/>
          </w:rPr>
          <w:fldChar w:fldCharType="separate"/>
        </w:r>
        <w:r w:rsidR="00157C30">
          <w:rPr>
            <w:noProof/>
            <w:sz w:val="22"/>
            <w:szCs w:val="22"/>
          </w:rPr>
          <w:t>9</w:t>
        </w:r>
        <w:r w:rsidR="00BB77F5" w:rsidRPr="00ED759B">
          <w:rPr>
            <w:noProof/>
            <w:sz w:val="22"/>
            <w:szCs w:val="22"/>
          </w:rPr>
          <w:fldChar w:fldCharType="end"/>
        </w:r>
      </w:p>
    </w:sdtContent>
  </w:sdt>
  <w:p w14:paraId="0AE16724" w14:textId="77777777" w:rsidR="001D33E8" w:rsidRDefault="001D3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DB08" w14:textId="77777777" w:rsidR="00D60567" w:rsidRDefault="00D60567" w:rsidP="003172D8">
      <w:r>
        <w:separator/>
      </w:r>
    </w:p>
  </w:footnote>
  <w:footnote w:type="continuationSeparator" w:id="0">
    <w:p w14:paraId="6BCE30F1" w14:textId="77777777" w:rsidR="00D60567" w:rsidRDefault="00D60567" w:rsidP="003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63B4A" w14:textId="77777777" w:rsidR="001D33E8" w:rsidRPr="00473AEB" w:rsidRDefault="00887EAE" w:rsidP="003172D8">
    <w:pPr>
      <w:pStyle w:val="Header"/>
      <w:jc w:val="center"/>
      <w:rPr>
        <w:sz w:val="26"/>
        <w:szCs w:val="26"/>
        <w:u w:val="single"/>
      </w:rPr>
    </w:pPr>
    <w:r w:rsidRPr="00887EAE">
      <w:rPr>
        <w:sz w:val="26"/>
        <w:szCs w:val="26"/>
        <w:u w:val="single"/>
      </w:rPr>
      <w:t>State Environmental Planning Policy (Housing for Seniors or People with a Disability) 2004</w:t>
    </w:r>
    <w:r>
      <w:rPr>
        <w:sz w:val="26"/>
        <w:szCs w:val="26"/>
        <w:u w:val="single"/>
      </w:rPr>
      <w:t xml:space="preserve"> (Seniors Housing SEPP) </w:t>
    </w:r>
    <w:r w:rsidR="001D33E8" w:rsidRPr="00473AEB">
      <w:rPr>
        <w:sz w:val="26"/>
        <w:szCs w:val="26"/>
        <w:u w:val="single"/>
      </w:rPr>
      <w:t>Assessment Table</w:t>
    </w:r>
  </w:p>
  <w:p w14:paraId="43ED7347" w14:textId="77777777" w:rsidR="001D33E8" w:rsidRDefault="001D3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62BE"/>
    <w:multiLevelType w:val="hybridMultilevel"/>
    <w:tmpl w:val="902204DA"/>
    <w:lvl w:ilvl="0" w:tplc="A0E63E3A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AD53140"/>
    <w:multiLevelType w:val="hybridMultilevel"/>
    <w:tmpl w:val="5352F8AC"/>
    <w:lvl w:ilvl="0" w:tplc="EECEE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577"/>
    <w:multiLevelType w:val="hybridMultilevel"/>
    <w:tmpl w:val="D6EEE088"/>
    <w:lvl w:ilvl="0" w:tplc="29D89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19D7"/>
    <w:multiLevelType w:val="hybridMultilevel"/>
    <w:tmpl w:val="55B6BCA8"/>
    <w:lvl w:ilvl="0" w:tplc="5046F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5DE6"/>
    <w:multiLevelType w:val="hybridMultilevel"/>
    <w:tmpl w:val="00F0569C"/>
    <w:lvl w:ilvl="0" w:tplc="7BA269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3284"/>
    <w:multiLevelType w:val="hybridMultilevel"/>
    <w:tmpl w:val="50F6815C"/>
    <w:lvl w:ilvl="0" w:tplc="F3AEDE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60ED9"/>
    <w:multiLevelType w:val="hybridMultilevel"/>
    <w:tmpl w:val="1C70348A"/>
    <w:lvl w:ilvl="0" w:tplc="CDD64096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34F66CE0"/>
    <w:multiLevelType w:val="hybridMultilevel"/>
    <w:tmpl w:val="99F03B32"/>
    <w:lvl w:ilvl="0" w:tplc="A9583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05B8F"/>
    <w:multiLevelType w:val="hybridMultilevel"/>
    <w:tmpl w:val="C9A690C0"/>
    <w:lvl w:ilvl="0" w:tplc="4044E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B200C"/>
    <w:multiLevelType w:val="hybridMultilevel"/>
    <w:tmpl w:val="2952B14A"/>
    <w:lvl w:ilvl="0" w:tplc="B2CE1C0C">
      <w:start w:val="8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F529F"/>
    <w:multiLevelType w:val="hybridMultilevel"/>
    <w:tmpl w:val="3F2E48F0"/>
    <w:lvl w:ilvl="0" w:tplc="7FC4F590">
      <w:start w:val="1"/>
      <w:numFmt w:val="lowerRoman"/>
      <w:lvlText w:val="(%1)"/>
      <w:lvlJc w:val="left"/>
      <w:pPr>
        <w:ind w:left="153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5C8C2231"/>
    <w:multiLevelType w:val="hybridMultilevel"/>
    <w:tmpl w:val="033A3E0C"/>
    <w:lvl w:ilvl="0" w:tplc="170C964A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68166E1C"/>
    <w:multiLevelType w:val="hybridMultilevel"/>
    <w:tmpl w:val="D96A5B14"/>
    <w:lvl w:ilvl="0" w:tplc="70FE2B70">
      <w:start w:val="5"/>
      <w:numFmt w:val="lowerRoman"/>
      <w:lvlText w:val="(%1)"/>
      <w:lvlJc w:val="left"/>
      <w:pPr>
        <w:ind w:left="153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7094"/>
    <w:multiLevelType w:val="hybridMultilevel"/>
    <w:tmpl w:val="48EE6214"/>
    <w:lvl w:ilvl="0" w:tplc="3E3E50FA">
      <w:start w:val="3"/>
      <w:numFmt w:val="lowerRoman"/>
      <w:lvlText w:val="(%1)"/>
      <w:lvlJc w:val="left"/>
      <w:pPr>
        <w:ind w:left="153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746E9"/>
    <w:multiLevelType w:val="hybridMultilevel"/>
    <w:tmpl w:val="CCBCC5F6"/>
    <w:lvl w:ilvl="0" w:tplc="D5B4F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D4FB6"/>
    <w:multiLevelType w:val="hybridMultilevel"/>
    <w:tmpl w:val="9378F49E"/>
    <w:lvl w:ilvl="0" w:tplc="4C62DEC4">
      <w:start w:val="1"/>
      <w:numFmt w:val="lowerRoman"/>
      <w:lvlText w:val="(%1)"/>
      <w:lvlJc w:val="left"/>
      <w:pPr>
        <w:ind w:left="153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6FA847E7"/>
    <w:multiLevelType w:val="hybridMultilevel"/>
    <w:tmpl w:val="895AEBF0"/>
    <w:lvl w:ilvl="0" w:tplc="50A65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93DD7"/>
    <w:multiLevelType w:val="hybridMultilevel"/>
    <w:tmpl w:val="31EED64A"/>
    <w:lvl w:ilvl="0" w:tplc="94948EAE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7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15"/>
  </w:num>
  <w:num w:numId="10">
    <w:abstractNumId w:val="2"/>
  </w:num>
  <w:num w:numId="11">
    <w:abstractNumId w:val="8"/>
  </w:num>
  <w:num w:numId="12">
    <w:abstractNumId w:val="3"/>
  </w:num>
  <w:num w:numId="13">
    <w:abstractNumId w:val="13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 w:numId="1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03"/>
    <w:rsid w:val="00000D35"/>
    <w:rsid w:val="00000F1B"/>
    <w:rsid w:val="0000143A"/>
    <w:rsid w:val="00001F7E"/>
    <w:rsid w:val="0000542C"/>
    <w:rsid w:val="0000608D"/>
    <w:rsid w:val="00006C7B"/>
    <w:rsid w:val="000152DA"/>
    <w:rsid w:val="0001591A"/>
    <w:rsid w:val="00020266"/>
    <w:rsid w:val="00021995"/>
    <w:rsid w:val="000229E9"/>
    <w:rsid w:val="00022D0C"/>
    <w:rsid w:val="0003445C"/>
    <w:rsid w:val="000349D3"/>
    <w:rsid w:val="00035180"/>
    <w:rsid w:val="00040913"/>
    <w:rsid w:val="0004381B"/>
    <w:rsid w:val="00044263"/>
    <w:rsid w:val="000443D6"/>
    <w:rsid w:val="00046A88"/>
    <w:rsid w:val="00055D75"/>
    <w:rsid w:val="00072377"/>
    <w:rsid w:val="000747CD"/>
    <w:rsid w:val="00077437"/>
    <w:rsid w:val="00080148"/>
    <w:rsid w:val="00081877"/>
    <w:rsid w:val="000838B6"/>
    <w:rsid w:val="0008568D"/>
    <w:rsid w:val="000870FA"/>
    <w:rsid w:val="000929A8"/>
    <w:rsid w:val="0009612F"/>
    <w:rsid w:val="000A381F"/>
    <w:rsid w:val="000A6E94"/>
    <w:rsid w:val="000B0695"/>
    <w:rsid w:val="000B1BE5"/>
    <w:rsid w:val="000B21B7"/>
    <w:rsid w:val="000B5E38"/>
    <w:rsid w:val="000C1CE5"/>
    <w:rsid w:val="000C1DA0"/>
    <w:rsid w:val="000C2728"/>
    <w:rsid w:val="000D4EA5"/>
    <w:rsid w:val="000E09EE"/>
    <w:rsid w:val="000E0BB0"/>
    <w:rsid w:val="000E1544"/>
    <w:rsid w:val="000E487F"/>
    <w:rsid w:val="000E53FD"/>
    <w:rsid w:val="000F3832"/>
    <w:rsid w:val="000F3BA0"/>
    <w:rsid w:val="000F4E57"/>
    <w:rsid w:val="001024D0"/>
    <w:rsid w:val="001029C4"/>
    <w:rsid w:val="00112CC6"/>
    <w:rsid w:val="00116817"/>
    <w:rsid w:val="0012025E"/>
    <w:rsid w:val="00122101"/>
    <w:rsid w:val="00124F59"/>
    <w:rsid w:val="0012702A"/>
    <w:rsid w:val="00130AA1"/>
    <w:rsid w:val="0013203E"/>
    <w:rsid w:val="0013530B"/>
    <w:rsid w:val="001405EF"/>
    <w:rsid w:val="00143AF1"/>
    <w:rsid w:val="001447BA"/>
    <w:rsid w:val="00144CD3"/>
    <w:rsid w:val="001470C1"/>
    <w:rsid w:val="001471A3"/>
    <w:rsid w:val="00150E5C"/>
    <w:rsid w:val="00154760"/>
    <w:rsid w:val="00155123"/>
    <w:rsid w:val="00157AE8"/>
    <w:rsid w:val="00157C30"/>
    <w:rsid w:val="00162BDC"/>
    <w:rsid w:val="00170AA6"/>
    <w:rsid w:val="00171145"/>
    <w:rsid w:val="001727E3"/>
    <w:rsid w:val="00172FFB"/>
    <w:rsid w:val="00173913"/>
    <w:rsid w:val="00180567"/>
    <w:rsid w:val="00182AC2"/>
    <w:rsid w:val="00184AF9"/>
    <w:rsid w:val="001857E4"/>
    <w:rsid w:val="00187A27"/>
    <w:rsid w:val="00190475"/>
    <w:rsid w:val="001B6DBD"/>
    <w:rsid w:val="001B6FFA"/>
    <w:rsid w:val="001B7477"/>
    <w:rsid w:val="001C4A92"/>
    <w:rsid w:val="001D33E8"/>
    <w:rsid w:val="001D4BF3"/>
    <w:rsid w:val="001D586B"/>
    <w:rsid w:val="001E2C1B"/>
    <w:rsid w:val="001E6725"/>
    <w:rsid w:val="001E7858"/>
    <w:rsid w:val="001F11AA"/>
    <w:rsid w:val="00200387"/>
    <w:rsid w:val="00212FA8"/>
    <w:rsid w:val="00225C72"/>
    <w:rsid w:val="00230537"/>
    <w:rsid w:val="002341F0"/>
    <w:rsid w:val="002430DF"/>
    <w:rsid w:val="00245CC6"/>
    <w:rsid w:val="00247A48"/>
    <w:rsid w:val="002515B7"/>
    <w:rsid w:val="00251F3E"/>
    <w:rsid w:val="00252C33"/>
    <w:rsid w:val="0025334C"/>
    <w:rsid w:val="00257D4C"/>
    <w:rsid w:val="002628F0"/>
    <w:rsid w:val="00265A74"/>
    <w:rsid w:val="002665A6"/>
    <w:rsid w:val="00274012"/>
    <w:rsid w:val="002756C7"/>
    <w:rsid w:val="00276638"/>
    <w:rsid w:val="00276769"/>
    <w:rsid w:val="00280CA5"/>
    <w:rsid w:val="0029079C"/>
    <w:rsid w:val="002927CE"/>
    <w:rsid w:val="002A2A91"/>
    <w:rsid w:val="002A563E"/>
    <w:rsid w:val="002B2322"/>
    <w:rsid w:val="002B79AE"/>
    <w:rsid w:val="002C20BD"/>
    <w:rsid w:val="002C576D"/>
    <w:rsid w:val="002D25DE"/>
    <w:rsid w:val="002D4665"/>
    <w:rsid w:val="002D6268"/>
    <w:rsid w:val="002E1D24"/>
    <w:rsid w:val="002E33C0"/>
    <w:rsid w:val="002E4496"/>
    <w:rsid w:val="002E4AD0"/>
    <w:rsid w:val="002E5091"/>
    <w:rsid w:val="002E612C"/>
    <w:rsid w:val="002F2B86"/>
    <w:rsid w:val="002F475D"/>
    <w:rsid w:val="002F6120"/>
    <w:rsid w:val="003172D8"/>
    <w:rsid w:val="00317866"/>
    <w:rsid w:val="00317F58"/>
    <w:rsid w:val="003202F6"/>
    <w:rsid w:val="00324873"/>
    <w:rsid w:val="003262B3"/>
    <w:rsid w:val="00327075"/>
    <w:rsid w:val="00332C6A"/>
    <w:rsid w:val="00334469"/>
    <w:rsid w:val="00335286"/>
    <w:rsid w:val="003377E4"/>
    <w:rsid w:val="00343E77"/>
    <w:rsid w:val="003471CE"/>
    <w:rsid w:val="00350424"/>
    <w:rsid w:val="00351EA3"/>
    <w:rsid w:val="0035412F"/>
    <w:rsid w:val="00355D93"/>
    <w:rsid w:val="00361475"/>
    <w:rsid w:val="00363499"/>
    <w:rsid w:val="00371EF6"/>
    <w:rsid w:val="00372951"/>
    <w:rsid w:val="00374242"/>
    <w:rsid w:val="00386F66"/>
    <w:rsid w:val="00387F94"/>
    <w:rsid w:val="00387FAD"/>
    <w:rsid w:val="003937CF"/>
    <w:rsid w:val="003951C7"/>
    <w:rsid w:val="0039602E"/>
    <w:rsid w:val="003971BA"/>
    <w:rsid w:val="00397919"/>
    <w:rsid w:val="003B30FC"/>
    <w:rsid w:val="003B3637"/>
    <w:rsid w:val="003B53E3"/>
    <w:rsid w:val="003B6E14"/>
    <w:rsid w:val="003C248D"/>
    <w:rsid w:val="003C6687"/>
    <w:rsid w:val="003D45CF"/>
    <w:rsid w:val="003E0A04"/>
    <w:rsid w:val="003E0B56"/>
    <w:rsid w:val="003E1146"/>
    <w:rsid w:val="003E11C8"/>
    <w:rsid w:val="003E46A2"/>
    <w:rsid w:val="003E7800"/>
    <w:rsid w:val="003F069A"/>
    <w:rsid w:val="003F2F91"/>
    <w:rsid w:val="003F52A9"/>
    <w:rsid w:val="00400304"/>
    <w:rsid w:val="00405E48"/>
    <w:rsid w:val="00406E77"/>
    <w:rsid w:val="00412200"/>
    <w:rsid w:val="0041411F"/>
    <w:rsid w:val="00420DED"/>
    <w:rsid w:val="00423314"/>
    <w:rsid w:val="004270D1"/>
    <w:rsid w:val="0043603F"/>
    <w:rsid w:val="00436445"/>
    <w:rsid w:val="00437139"/>
    <w:rsid w:val="004408DB"/>
    <w:rsid w:val="00440CBF"/>
    <w:rsid w:val="0044167D"/>
    <w:rsid w:val="00443402"/>
    <w:rsid w:val="00445F94"/>
    <w:rsid w:val="0044794D"/>
    <w:rsid w:val="004520F4"/>
    <w:rsid w:val="0045428E"/>
    <w:rsid w:val="004632DF"/>
    <w:rsid w:val="004636E0"/>
    <w:rsid w:val="00463DF9"/>
    <w:rsid w:val="004640BB"/>
    <w:rsid w:val="00473AEB"/>
    <w:rsid w:val="00475FEB"/>
    <w:rsid w:val="00477DBC"/>
    <w:rsid w:val="00487DF9"/>
    <w:rsid w:val="00491139"/>
    <w:rsid w:val="00492E05"/>
    <w:rsid w:val="00492E75"/>
    <w:rsid w:val="00496BF1"/>
    <w:rsid w:val="004A34BA"/>
    <w:rsid w:val="004A5ED2"/>
    <w:rsid w:val="004A6961"/>
    <w:rsid w:val="004A70F3"/>
    <w:rsid w:val="004B0A75"/>
    <w:rsid w:val="004C1419"/>
    <w:rsid w:val="004C3644"/>
    <w:rsid w:val="004C364E"/>
    <w:rsid w:val="004D71D1"/>
    <w:rsid w:val="004E0A4E"/>
    <w:rsid w:val="004E5B67"/>
    <w:rsid w:val="004E6034"/>
    <w:rsid w:val="004F2010"/>
    <w:rsid w:val="005027FC"/>
    <w:rsid w:val="00512B8C"/>
    <w:rsid w:val="00521281"/>
    <w:rsid w:val="005215E6"/>
    <w:rsid w:val="00521D5E"/>
    <w:rsid w:val="00523B84"/>
    <w:rsid w:val="0053121D"/>
    <w:rsid w:val="00531727"/>
    <w:rsid w:val="00534094"/>
    <w:rsid w:val="00534CA4"/>
    <w:rsid w:val="00536988"/>
    <w:rsid w:val="00540956"/>
    <w:rsid w:val="00541A83"/>
    <w:rsid w:val="00545223"/>
    <w:rsid w:val="00547599"/>
    <w:rsid w:val="00551003"/>
    <w:rsid w:val="00555CC8"/>
    <w:rsid w:val="00560C31"/>
    <w:rsid w:val="00565F09"/>
    <w:rsid w:val="00566F5A"/>
    <w:rsid w:val="00573BE3"/>
    <w:rsid w:val="005746B1"/>
    <w:rsid w:val="00576264"/>
    <w:rsid w:val="00576911"/>
    <w:rsid w:val="005828EA"/>
    <w:rsid w:val="00585D2C"/>
    <w:rsid w:val="0058678D"/>
    <w:rsid w:val="00590A63"/>
    <w:rsid w:val="005932A3"/>
    <w:rsid w:val="005950E7"/>
    <w:rsid w:val="00595BFD"/>
    <w:rsid w:val="005A24FA"/>
    <w:rsid w:val="005A7B84"/>
    <w:rsid w:val="005B008A"/>
    <w:rsid w:val="005B3DB2"/>
    <w:rsid w:val="005B4B99"/>
    <w:rsid w:val="005B59C5"/>
    <w:rsid w:val="005C0794"/>
    <w:rsid w:val="005C21A5"/>
    <w:rsid w:val="005C5760"/>
    <w:rsid w:val="005C57D7"/>
    <w:rsid w:val="005D360D"/>
    <w:rsid w:val="005D64AE"/>
    <w:rsid w:val="005E210F"/>
    <w:rsid w:val="005E3324"/>
    <w:rsid w:val="005E3A79"/>
    <w:rsid w:val="005F151D"/>
    <w:rsid w:val="005F4D1C"/>
    <w:rsid w:val="005F5BD4"/>
    <w:rsid w:val="005F6B6C"/>
    <w:rsid w:val="0060173B"/>
    <w:rsid w:val="00610DE7"/>
    <w:rsid w:val="00613783"/>
    <w:rsid w:val="006175B8"/>
    <w:rsid w:val="00620AB0"/>
    <w:rsid w:val="00620C72"/>
    <w:rsid w:val="00620FCE"/>
    <w:rsid w:val="0064118D"/>
    <w:rsid w:val="00641230"/>
    <w:rsid w:val="006447F4"/>
    <w:rsid w:val="0065002A"/>
    <w:rsid w:val="00655542"/>
    <w:rsid w:val="00656E60"/>
    <w:rsid w:val="00660019"/>
    <w:rsid w:val="00660CB2"/>
    <w:rsid w:val="00666874"/>
    <w:rsid w:val="0067010B"/>
    <w:rsid w:val="00670231"/>
    <w:rsid w:val="0067272C"/>
    <w:rsid w:val="00675CD1"/>
    <w:rsid w:val="00676613"/>
    <w:rsid w:val="0067748F"/>
    <w:rsid w:val="00684639"/>
    <w:rsid w:val="006873EC"/>
    <w:rsid w:val="00691E03"/>
    <w:rsid w:val="00694C31"/>
    <w:rsid w:val="00695B90"/>
    <w:rsid w:val="00696734"/>
    <w:rsid w:val="006A1301"/>
    <w:rsid w:val="006A4888"/>
    <w:rsid w:val="006B2338"/>
    <w:rsid w:val="006B5034"/>
    <w:rsid w:val="006B5B38"/>
    <w:rsid w:val="006B735C"/>
    <w:rsid w:val="006C186F"/>
    <w:rsid w:val="006C41D4"/>
    <w:rsid w:val="006C4A6C"/>
    <w:rsid w:val="006C72AF"/>
    <w:rsid w:val="006D0710"/>
    <w:rsid w:val="006D3341"/>
    <w:rsid w:val="006D64AA"/>
    <w:rsid w:val="006D7FFA"/>
    <w:rsid w:val="006E16D6"/>
    <w:rsid w:val="006E22CB"/>
    <w:rsid w:val="006F14F4"/>
    <w:rsid w:val="0070003A"/>
    <w:rsid w:val="00704CA9"/>
    <w:rsid w:val="007113B4"/>
    <w:rsid w:val="00723E3B"/>
    <w:rsid w:val="0073050A"/>
    <w:rsid w:val="00730D1B"/>
    <w:rsid w:val="00732C7C"/>
    <w:rsid w:val="00733E93"/>
    <w:rsid w:val="007347AE"/>
    <w:rsid w:val="007370AB"/>
    <w:rsid w:val="00742CA2"/>
    <w:rsid w:val="00742FFB"/>
    <w:rsid w:val="00743F1E"/>
    <w:rsid w:val="007526DD"/>
    <w:rsid w:val="007537E2"/>
    <w:rsid w:val="00753F69"/>
    <w:rsid w:val="007549F3"/>
    <w:rsid w:val="007564D9"/>
    <w:rsid w:val="00757E1D"/>
    <w:rsid w:val="00760539"/>
    <w:rsid w:val="0076056C"/>
    <w:rsid w:val="00760EDE"/>
    <w:rsid w:val="00762AD9"/>
    <w:rsid w:val="00762B5D"/>
    <w:rsid w:val="00763533"/>
    <w:rsid w:val="00772FEF"/>
    <w:rsid w:val="0077307B"/>
    <w:rsid w:val="00773B1F"/>
    <w:rsid w:val="007758E4"/>
    <w:rsid w:val="00775CA1"/>
    <w:rsid w:val="00776E83"/>
    <w:rsid w:val="00787FB2"/>
    <w:rsid w:val="0079263B"/>
    <w:rsid w:val="007953AB"/>
    <w:rsid w:val="0079590A"/>
    <w:rsid w:val="007A0E0E"/>
    <w:rsid w:val="007A2EC8"/>
    <w:rsid w:val="007A7C0F"/>
    <w:rsid w:val="007A7D2E"/>
    <w:rsid w:val="007B2524"/>
    <w:rsid w:val="007B4B37"/>
    <w:rsid w:val="007C2746"/>
    <w:rsid w:val="007C3368"/>
    <w:rsid w:val="007C3C0C"/>
    <w:rsid w:val="007C3EE0"/>
    <w:rsid w:val="007C42E1"/>
    <w:rsid w:val="007C4F28"/>
    <w:rsid w:val="007C51C4"/>
    <w:rsid w:val="007C5727"/>
    <w:rsid w:val="007C7B28"/>
    <w:rsid w:val="007D513D"/>
    <w:rsid w:val="007D6018"/>
    <w:rsid w:val="007D66B6"/>
    <w:rsid w:val="007E0C94"/>
    <w:rsid w:val="007E2DB5"/>
    <w:rsid w:val="007E4A2D"/>
    <w:rsid w:val="007E71B1"/>
    <w:rsid w:val="007F1037"/>
    <w:rsid w:val="007F2703"/>
    <w:rsid w:val="007F60AB"/>
    <w:rsid w:val="00800817"/>
    <w:rsid w:val="00803E23"/>
    <w:rsid w:val="0080426C"/>
    <w:rsid w:val="0081343F"/>
    <w:rsid w:val="00813E60"/>
    <w:rsid w:val="0082119F"/>
    <w:rsid w:val="00823BAE"/>
    <w:rsid w:val="00824732"/>
    <w:rsid w:val="00825ED6"/>
    <w:rsid w:val="00827509"/>
    <w:rsid w:val="008314CE"/>
    <w:rsid w:val="00832D6A"/>
    <w:rsid w:val="0083472C"/>
    <w:rsid w:val="008362DF"/>
    <w:rsid w:val="00841CF2"/>
    <w:rsid w:val="0084228E"/>
    <w:rsid w:val="00842DE5"/>
    <w:rsid w:val="0084341A"/>
    <w:rsid w:val="00844F82"/>
    <w:rsid w:val="008556B2"/>
    <w:rsid w:val="008564AD"/>
    <w:rsid w:val="00856E37"/>
    <w:rsid w:val="008609DC"/>
    <w:rsid w:val="00861BFA"/>
    <w:rsid w:val="00863D83"/>
    <w:rsid w:val="00863E3B"/>
    <w:rsid w:val="00865A3C"/>
    <w:rsid w:val="0086726C"/>
    <w:rsid w:val="00871EFD"/>
    <w:rsid w:val="00884913"/>
    <w:rsid w:val="0088544A"/>
    <w:rsid w:val="00887EAE"/>
    <w:rsid w:val="00892951"/>
    <w:rsid w:val="00892BC5"/>
    <w:rsid w:val="008968FD"/>
    <w:rsid w:val="008972F4"/>
    <w:rsid w:val="00897320"/>
    <w:rsid w:val="008A0D67"/>
    <w:rsid w:val="008A7EF9"/>
    <w:rsid w:val="008B110E"/>
    <w:rsid w:val="008B547E"/>
    <w:rsid w:val="008B78E5"/>
    <w:rsid w:val="008C3F9C"/>
    <w:rsid w:val="008C4D49"/>
    <w:rsid w:val="008C5BB1"/>
    <w:rsid w:val="008D0E7B"/>
    <w:rsid w:val="008D531F"/>
    <w:rsid w:val="008D5CAE"/>
    <w:rsid w:val="008E19ED"/>
    <w:rsid w:val="008E52C6"/>
    <w:rsid w:val="008E6AD6"/>
    <w:rsid w:val="008F42FB"/>
    <w:rsid w:val="008F6642"/>
    <w:rsid w:val="0090152D"/>
    <w:rsid w:val="00903B18"/>
    <w:rsid w:val="00904376"/>
    <w:rsid w:val="0091066B"/>
    <w:rsid w:val="0091429D"/>
    <w:rsid w:val="00914556"/>
    <w:rsid w:val="00915840"/>
    <w:rsid w:val="00915937"/>
    <w:rsid w:val="00923C45"/>
    <w:rsid w:val="009241CC"/>
    <w:rsid w:val="009243D0"/>
    <w:rsid w:val="00925D87"/>
    <w:rsid w:val="00933F7A"/>
    <w:rsid w:val="0093473D"/>
    <w:rsid w:val="009352D3"/>
    <w:rsid w:val="00936C59"/>
    <w:rsid w:val="00952962"/>
    <w:rsid w:val="00954065"/>
    <w:rsid w:val="009562D8"/>
    <w:rsid w:val="00957C3E"/>
    <w:rsid w:val="009601FE"/>
    <w:rsid w:val="00961328"/>
    <w:rsid w:val="00965FF8"/>
    <w:rsid w:val="0097416A"/>
    <w:rsid w:val="009744D8"/>
    <w:rsid w:val="0097778B"/>
    <w:rsid w:val="00977B31"/>
    <w:rsid w:val="00982B0B"/>
    <w:rsid w:val="00983FF2"/>
    <w:rsid w:val="00984796"/>
    <w:rsid w:val="009853B8"/>
    <w:rsid w:val="00987120"/>
    <w:rsid w:val="00987A81"/>
    <w:rsid w:val="009A4961"/>
    <w:rsid w:val="009A4AAC"/>
    <w:rsid w:val="009A64E6"/>
    <w:rsid w:val="009B7768"/>
    <w:rsid w:val="009C3737"/>
    <w:rsid w:val="009C74D1"/>
    <w:rsid w:val="009D21E7"/>
    <w:rsid w:val="009D2FFF"/>
    <w:rsid w:val="009D5B8A"/>
    <w:rsid w:val="009D7B4C"/>
    <w:rsid w:val="009E03FF"/>
    <w:rsid w:val="009E3104"/>
    <w:rsid w:val="009E3726"/>
    <w:rsid w:val="009E3BB1"/>
    <w:rsid w:val="009E5E4F"/>
    <w:rsid w:val="009E61E2"/>
    <w:rsid w:val="009F11F5"/>
    <w:rsid w:val="009F5185"/>
    <w:rsid w:val="009F5256"/>
    <w:rsid w:val="009F605F"/>
    <w:rsid w:val="00A03FCC"/>
    <w:rsid w:val="00A043DF"/>
    <w:rsid w:val="00A10C88"/>
    <w:rsid w:val="00A123B7"/>
    <w:rsid w:val="00A16D36"/>
    <w:rsid w:val="00A2694D"/>
    <w:rsid w:val="00A40E1F"/>
    <w:rsid w:val="00A41928"/>
    <w:rsid w:val="00A52C37"/>
    <w:rsid w:val="00A57C4A"/>
    <w:rsid w:val="00A604FD"/>
    <w:rsid w:val="00A7142D"/>
    <w:rsid w:val="00A84E25"/>
    <w:rsid w:val="00A86BE3"/>
    <w:rsid w:val="00A90BCA"/>
    <w:rsid w:val="00A91839"/>
    <w:rsid w:val="00A94646"/>
    <w:rsid w:val="00A958ED"/>
    <w:rsid w:val="00AA06CB"/>
    <w:rsid w:val="00AA4184"/>
    <w:rsid w:val="00AA4FFF"/>
    <w:rsid w:val="00AA774D"/>
    <w:rsid w:val="00AB3DB3"/>
    <w:rsid w:val="00AB5C3B"/>
    <w:rsid w:val="00AB69AC"/>
    <w:rsid w:val="00AC0429"/>
    <w:rsid w:val="00AC15EF"/>
    <w:rsid w:val="00AC2362"/>
    <w:rsid w:val="00AC6834"/>
    <w:rsid w:val="00AD567D"/>
    <w:rsid w:val="00AE1D68"/>
    <w:rsid w:val="00AE253B"/>
    <w:rsid w:val="00AE2933"/>
    <w:rsid w:val="00AE334B"/>
    <w:rsid w:val="00AE472C"/>
    <w:rsid w:val="00AE55C7"/>
    <w:rsid w:val="00AF481B"/>
    <w:rsid w:val="00B01599"/>
    <w:rsid w:val="00B035D1"/>
    <w:rsid w:val="00B047A9"/>
    <w:rsid w:val="00B04C81"/>
    <w:rsid w:val="00B152DA"/>
    <w:rsid w:val="00B16C30"/>
    <w:rsid w:val="00B214E0"/>
    <w:rsid w:val="00B275EB"/>
    <w:rsid w:val="00B31145"/>
    <w:rsid w:val="00B36741"/>
    <w:rsid w:val="00B41119"/>
    <w:rsid w:val="00B43281"/>
    <w:rsid w:val="00B46C22"/>
    <w:rsid w:val="00B50133"/>
    <w:rsid w:val="00B5280E"/>
    <w:rsid w:val="00B63201"/>
    <w:rsid w:val="00B67E09"/>
    <w:rsid w:val="00B74076"/>
    <w:rsid w:val="00B76DE8"/>
    <w:rsid w:val="00B77A53"/>
    <w:rsid w:val="00B8289B"/>
    <w:rsid w:val="00B831C6"/>
    <w:rsid w:val="00B873DA"/>
    <w:rsid w:val="00B87896"/>
    <w:rsid w:val="00B87D55"/>
    <w:rsid w:val="00B901BE"/>
    <w:rsid w:val="00B91C90"/>
    <w:rsid w:val="00B958EC"/>
    <w:rsid w:val="00B96D4A"/>
    <w:rsid w:val="00BA5323"/>
    <w:rsid w:val="00BA6827"/>
    <w:rsid w:val="00BB023E"/>
    <w:rsid w:val="00BB57A5"/>
    <w:rsid w:val="00BB77F5"/>
    <w:rsid w:val="00BB79F0"/>
    <w:rsid w:val="00BC05E9"/>
    <w:rsid w:val="00BC2899"/>
    <w:rsid w:val="00BC3391"/>
    <w:rsid w:val="00BC35B9"/>
    <w:rsid w:val="00BC3E55"/>
    <w:rsid w:val="00BC4F70"/>
    <w:rsid w:val="00BD1807"/>
    <w:rsid w:val="00BD1959"/>
    <w:rsid w:val="00BE5379"/>
    <w:rsid w:val="00BE781A"/>
    <w:rsid w:val="00BE7ACA"/>
    <w:rsid w:val="00BF0621"/>
    <w:rsid w:val="00BF4C41"/>
    <w:rsid w:val="00C07507"/>
    <w:rsid w:val="00C12569"/>
    <w:rsid w:val="00C201E3"/>
    <w:rsid w:val="00C278F3"/>
    <w:rsid w:val="00C326B3"/>
    <w:rsid w:val="00C32FB8"/>
    <w:rsid w:val="00C35C6F"/>
    <w:rsid w:val="00C50834"/>
    <w:rsid w:val="00C5236B"/>
    <w:rsid w:val="00C5399A"/>
    <w:rsid w:val="00C55360"/>
    <w:rsid w:val="00C572EB"/>
    <w:rsid w:val="00C61955"/>
    <w:rsid w:val="00C62F0D"/>
    <w:rsid w:val="00C64766"/>
    <w:rsid w:val="00C64EFA"/>
    <w:rsid w:val="00C74EEA"/>
    <w:rsid w:val="00C85FE8"/>
    <w:rsid w:val="00C87906"/>
    <w:rsid w:val="00C87918"/>
    <w:rsid w:val="00C920BF"/>
    <w:rsid w:val="00C96F94"/>
    <w:rsid w:val="00CA1C23"/>
    <w:rsid w:val="00CA1C33"/>
    <w:rsid w:val="00CA25EB"/>
    <w:rsid w:val="00CA7CAB"/>
    <w:rsid w:val="00CB283D"/>
    <w:rsid w:val="00CC069D"/>
    <w:rsid w:val="00CC0EAF"/>
    <w:rsid w:val="00CC4D9F"/>
    <w:rsid w:val="00CD127E"/>
    <w:rsid w:val="00CD2542"/>
    <w:rsid w:val="00CD25FF"/>
    <w:rsid w:val="00CD4E3C"/>
    <w:rsid w:val="00CD5EB6"/>
    <w:rsid w:val="00CE1DAC"/>
    <w:rsid w:val="00CE28BE"/>
    <w:rsid w:val="00CE5538"/>
    <w:rsid w:val="00CE6ED3"/>
    <w:rsid w:val="00CF2769"/>
    <w:rsid w:val="00CF60A6"/>
    <w:rsid w:val="00D00513"/>
    <w:rsid w:val="00D01884"/>
    <w:rsid w:val="00D024F3"/>
    <w:rsid w:val="00D025B2"/>
    <w:rsid w:val="00D0487A"/>
    <w:rsid w:val="00D06A2F"/>
    <w:rsid w:val="00D10CDD"/>
    <w:rsid w:val="00D1215D"/>
    <w:rsid w:val="00D147DC"/>
    <w:rsid w:val="00D148DF"/>
    <w:rsid w:val="00D161C7"/>
    <w:rsid w:val="00D20C7E"/>
    <w:rsid w:val="00D247C2"/>
    <w:rsid w:val="00D25ACE"/>
    <w:rsid w:val="00D3195D"/>
    <w:rsid w:val="00D32B51"/>
    <w:rsid w:val="00D32F10"/>
    <w:rsid w:val="00D43430"/>
    <w:rsid w:val="00D43FB2"/>
    <w:rsid w:val="00D45AE3"/>
    <w:rsid w:val="00D5187E"/>
    <w:rsid w:val="00D52B4A"/>
    <w:rsid w:val="00D60567"/>
    <w:rsid w:val="00D670AF"/>
    <w:rsid w:val="00D67BFB"/>
    <w:rsid w:val="00D72AAD"/>
    <w:rsid w:val="00D7597F"/>
    <w:rsid w:val="00D770C4"/>
    <w:rsid w:val="00D77BB7"/>
    <w:rsid w:val="00D84366"/>
    <w:rsid w:val="00D848AF"/>
    <w:rsid w:val="00D860EA"/>
    <w:rsid w:val="00D8728B"/>
    <w:rsid w:val="00D93DF0"/>
    <w:rsid w:val="00D9663A"/>
    <w:rsid w:val="00D972B3"/>
    <w:rsid w:val="00DA0F5A"/>
    <w:rsid w:val="00DA5158"/>
    <w:rsid w:val="00DA694E"/>
    <w:rsid w:val="00DA72FC"/>
    <w:rsid w:val="00DA760A"/>
    <w:rsid w:val="00DB057A"/>
    <w:rsid w:val="00DB5C1A"/>
    <w:rsid w:val="00DC1635"/>
    <w:rsid w:val="00DC2ED9"/>
    <w:rsid w:val="00DC4C12"/>
    <w:rsid w:val="00DC68F6"/>
    <w:rsid w:val="00DD0E77"/>
    <w:rsid w:val="00DD7F45"/>
    <w:rsid w:val="00DE0277"/>
    <w:rsid w:val="00DE4A96"/>
    <w:rsid w:val="00DF1824"/>
    <w:rsid w:val="00DF6281"/>
    <w:rsid w:val="00E00518"/>
    <w:rsid w:val="00E02551"/>
    <w:rsid w:val="00E101D4"/>
    <w:rsid w:val="00E17822"/>
    <w:rsid w:val="00E21C31"/>
    <w:rsid w:val="00E274A9"/>
    <w:rsid w:val="00E31DB5"/>
    <w:rsid w:val="00E31DE8"/>
    <w:rsid w:val="00E326DD"/>
    <w:rsid w:val="00E40534"/>
    <w:rsid w:val="00E40B5A"/>
    <w:rsid w:val="00E507BA"/>
    <w:rsid w:val="00E51DE8"/>
    <w:rsid w:val="00E54D77"/>
    <w:rsid w:val="00E568DE"/>
    <w:rsid w:val="00E56DBD"/>
    <w:rsid w:val="00E60077"/>
    <w:rsid w:val="00E602D4"/>
    <w:rsid w:val="00E61BB4"/>
    <w:rsid w:val="00E712C0"/>
    <w:rsid w:val="00E71312"/>
    <w:rsid w:val="00E74EDC"/>
    <w:rsid w:val="00E772BA"/>
    <w:rsid w:val="00E851EA"/>
    <w:rsid w:val="00E86F68"/>
    <w:rsid w:val="00E87493"/>
    <w:rsid w:val="00E87693"/>
    <w:rsid w:val="00E95766"/>
    <w:rsid w:val="00EA0005"/>
    <w:rsid w:val="00EB14ED"/>
    <w:rsid w:val="00EB5A5E"/>
    <w:rsid w:val="00EC250D"/>
    <w:rsid w:val="00EC26CD"/>
    <w:rsid w:val="00EC4539"/>
    <w:rsid w:val="00ED126B"/>
    <w:rsid w:val="00ED2B0C"/>
    <w:rsid w:val="00ED3F64"/>
    <w:rsid w:val="00ED54BE"/>
    <w:rsid w:val="00ED6DF3"/>
    <w:rsid w:val="00ED759B"/>
    <w:rsid w:val="00EE7953"/>
    <w:rsid w:val="00EF2758"/>
    <w:rsid w:val="00EF3458"/>
    <w:rsid w:val="00EF4BAA"/>
    <w:rsid w:val="00EF7718"/>
    <w:rsid w:val="00F01C26"/>
    <w:rsid w:val="00F0288F"/>
    <w:rsid w:val="00F04F62"/>
    <w:rsid w:val="00F13239"/>
    <w:rsid w:val="00F20BC2"/>
    <w:rsid w:val="00F25AC7"/>
    <w:rsid w:val="00F26558"/>
    <w:rsid w:val="00F2655C"/>
    <w:rsid w:val="00F2704E"/>
    <w:rsid w:val="00F340B4"/>
    <w:rsid w:val="00F34E31"/>
    <w:rsid w:val="00F40B18"/>
    <w:rsid w:val="00F41EDF"/>
    <w:rsid w:val="00F51161"/>
    <w:rsid w:val="00F55C02"/>
    <w:rsid w:val="00F5644B"/>
    <w:rsid w:val="00F60019"/>
    <w:rsid w:val="00F64ED2"/>
    <w:rsid w:val="00F72A9A"/>
    <w:rsid w:val="00F7328A"/>
    <w:rsid w:val="00F77D99"/>
    <w:rsid w:val="00F80B54"/>
    <w:rsid w:val="00F83233"/>
    <w:rsid w:val="00F85B67"/>
    <w:rsid w:val="00F86A11"/>
    <w:rsid w:val="00F945B4"/>
    <w:rsid w:val="00F95408"/>
    <w:rsid w:val="00F97F4E"/>
    <w:rsid w:val="00FA40EC"/>
    <w:rsid w:val="00FA453B"/>
    <w:rsid w:val="00FB1730"/>
    <w:rsid w:val="00FB1B31"/>
    <w:rsid w:val="00FB785C"/>
    <w:rsid w:val="00FB7DCC"/>
    <w:rsid w:val="00FC5CED"/>
    <w:rsid w:val="00FC6AAB"/>
    <w:rsid w:val="00FC76EB"/>
    <w:rsid w:val="00FD416C"/>
    <w:rsid w:val="00FD6FBA"/>
    <w:rsid w:val="00FD73E6"/>
    <w:rsid w:val="00FE0AFD"/>
    <w:rsid w:val="00FE215C"/>
    <w:rsid w:val="00FE4FC9"/>
    <w:rsid w:val="00FE6503"/>
    <w:rsid w:val="00FF3798"/>
    <w:rsid w:val="00FF39BD"/>
    <w:rsid w:val="00FF3A6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16E6BAA"/>
  <w15:docId w15:val="{80C565F4-79F8-428C-BD80-E81F7172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D8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7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D8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D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64AD"/>
    <w:pPr>
      <w:ind w:left="720"/>
      <w:contextualSpacing/>
    </w:pPr>
  </w:style>
  <w:style w:type="character" w:customStyle="1" w:styleId="frag-name2">
    <w:name w:val="frag-name2"/>
    <w:basedOn w:val="DefaultParagraphFont"/>
    <w:rsid w:val="004A34BA"/>
  </w:style>
  <w:style w:type="character" w:customStyle="1" w:styleId="frag-extref5">
    <w:name w:val="frag-extref5"/>
    <w:basedOn w:val="DefaultParagraphFont"/>
    <w:rsid w:val="00534094"/>
  </w:style>
  <w:style w:type="character" w:customStyle="1" w:styleId="frag-citation1">
    <w:name w:val="frag-citation1"/>
    <w:basedOn w:val="DefaultParagraphFont"/>
    <w:rsid w:val="00534094"/>
    <w:rPr>
      <w:i w:val="0"/>
      <w:iCs w:val="0"/>
    </w:rPr>
  </w:style>
  <w:style w:type="table" w:styleId="TableGrid">
    <w:name w:val="Table Grid"/>
    <w:basedOn w:val="TableNormal"/>
    <w:rsid w:val="00FD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6F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frag-heading">
    <w:name w:val="frag-heading"/>
    <w:basedOn w:val="DefaultParagraphFont"/>
    <w:rsid w:val="0044794D"/>
  </w:style>
  <w:style w:type="character" w:styleId="Hyperlink">
    <w:name w:val="Hyperlink"/>
    <w:basedOn w:val="DefaultParagraphFont"/>
    <w:uiPriority w:val="99"/>
    <w:unhideWhenUsed/>
    <w:rsid w:val="00DB05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392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58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0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2022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315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22577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91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835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10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9816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471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580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692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412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745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35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33504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931208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14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481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188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13899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3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7778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1646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728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45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458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43114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4551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376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50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8315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8141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5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718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46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2025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85000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03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2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0074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884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84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027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8993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053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679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83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6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465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9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58311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80733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877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395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2555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6506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3766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6010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16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7042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22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0622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70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3313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06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4989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36990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07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886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2505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692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76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344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91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088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54429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12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547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208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2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08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09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1880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029115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380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36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111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626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4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01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815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99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861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0904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4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0518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19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57078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6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00825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42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34191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2648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608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23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7071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7613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94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0112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DB44-A3AF-472B-A9DD-6173A54A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Council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Pritchard</dc:creator>
  <cp:lastModifiedBy>Adam Sampson</cp:lastModifiedBy>
  <cp:revision>7</cp:revision>
  <dcterms:created xsi:type="dcterms:W3CDTF">2020-08-25T03:07:00Z</dcterms:created>
  <dcterms:modified xsi:type="dcterms:W3CDTF">2020-09-08T03:09:00Z</dcterms:modified>
</cp:coreProperties>
</file>